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方正小标宋简体" w:hAnsi="方正小标宋简体" w:eastAsia="方正小标宋简体" w:cs="方正小标宋简体"/>
          <w:kern w:val="2"/>
          <w:sz w:val="44"/>
          <w:szCs w:val="44"/>
        </w:rPr>
      </w:pPr>
      <w:bookmarkStart w:id="0" w:name="_GoBack"/>
      <w:r>
        <w:rPr>
          <w:rFonts w:hint="eastAsia" w:ascii="方正小标宋简体" w:hAnsi="方正小标宋简体" w:eastAsia="方正小标宋简体" w:cs="方正小标宋简体"/>
          <w:kern w:val="2"/>
          <w:sz w:val="44"/>
          <w:szCs w:val="44"/>
        </w:rPr>
        <w:t>关于《</w:t>
      </w:r>
      <w:r>
        <w:rPr>
          <w:rFonts w:hint="eastAsia" w:ascii="方正小标宋简体" w:hAnsi="方正小标宋简体" w:eastAsia="方正小标宋简体" w:cs="方正小标宋简体"/>
          <w:kern w:val="2"/>
          <w:sz w:val="44"/>
          <w:szCs w:val="44"/>
          <w:lang w:eastAsia="zh-CN"/>
        </w:rPr>
        <w:t>梅州市客家菜传承发展促进</w:t>
      </w:r>
      <w:r>
        <w:rPr>
          <w:rFonts w:hint="eastAsia" w:ascii="方正小标宋简体" w:hAnsi="方正小标宋简体" w:eastAsia="方正小标宋简体" w:cs="方正小标宋简体"/>
          <w:kern w:val="2"/>
          <w:sz w:val="44"/>
          <w:szCs w:val="44"/>
        </w:rPr>
        <w:t>条例</w:t>
      </w:r>
      <w:r>
        <w:rPr>
          <w:rFonts w:hint="eastAsia" w:ascii="方正小标宋简体" w:hAnsi="方正小标宋简体" w:eastAsia="方正小标宋简体" w:cs="方正小标宋简体"/>
          <w:kern w:val="2"/>
          <w:sz w:val="44"/>
          <w:szCs w:val="44"/>
          <w:lang w:eastAsia="zh-CN"/>
        </w:rPr>
        <w:t>（</w:t>
      </w:r>
      <w:r>
        <w:rPr>
          <w:rFonts w:hint="eastAsia" w:ascii="方正小标宋简体" w:hAnsi="方正小标宋简体" w:eastAsia="方正小标宋简体" w:cs="方正小标宋简体"/>
          <w:kern w:val="2"/>
          <w:sz w:val="44"/>
          <w:szCs w:val="44"/>
        </w:rPr>
        <w:t>草案</w:t>
      </w:r>
    </w:p>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修改稿</w:t>
      </w:r>
      <w:r>
        <w:rPr>
          <w:rFonts w:hint="eastAsia" w:ascii="方正小标宋简体" w:hAnsi="方正小标宋简体" w:eastAsia="方正小标宋简体" w:cs="方正小标宋简体"/>
          <w:kern w:val="2"/>
          <w:sz w:val="44"/>
          <w:szCs w:val="44"/>
          <w:lang w:eastAsia="zh-CN"/>
        </w:rPr>
        <w:t>）</w:t>
      </w:r>
      <w:r>
        <w:rPr>
          <w:rFonts w:hint="eastAsia" w:ascii="方正小标宋简体" w:hAnsi="方正小标宋简体" w:eastAsia="方正小标宋简体" w:cs="方正小标宋简体"/>
          <w:kern w:val="2"/>
          <w:sz w:val="44"/>
          <w:szCs w:val="44"/>
        </w:rPr>
        <w:t>》表决前评估情况的报告</w:t>
      </w:r>
    </w:p>
    <w:bookmarkEnd w:id="0"/>
    <w:p>
      <w:pPr>
        <w:keepNext w:val="0"/>
        <w:keepLines w:val="0"/>
        <w:pageBreakBefore w:val="0"/>
        <w:widowControl w:val="0"/>
        <w:kinsoku/>
        <w:wordWrap/>
        <w:overflowPunct/>
        <w:topLinePunct w:val="0"/>
        <w:autoSpaceDE w:val="0"/>
        <w:autoSpaceDN w:val="0"/>
        <w:bidi w:val="0"/>
        <w:snapToGrid/>
        <w:spacing w:line="590" w:lineRule="exact"/>
        <w:ind w:left="0" w:leftChars="0"/>
        <w:jc w:val="center"/>
        <w:rPr>
          <w:rFonts w:hint="eastAsia" w:ascii="楷体_GB2312" w:hAnsi="楷体_GB2312" w:eastAsia="楷体_GB2312" w:cs="楷体_GB2312"/>
          <w:kern w:val="2"/>
          <w:szCs w:val="20"/>
        </w:rPr>
      </w:pPr>
    </w:p>
    <w:p>
      <w:pPr>
        <w:keepNext w:val="0"/>
        <w:keepLines w:val="0"/>
        <w:pageBreakBefore w:val="0"/>
        <w:widowControl w:val="0"/>
        <w:kinsoku/>
        <w:wordWrap/>
        <w:overflowPunct/>
        <w:topLinePunct w:val="0"/>
        <w:autoSpaceDE w:val="0"/>
        <w:autoSpaceDN w:val="0"/>
        <w:bidi w:val="0"/>
        <w:snapToGrid/>
        <w:spacing w:line="590" w:lineRule="exact"/>
        <w:ind w:left="0" w:leftChars="0"/>
        <w:jc w:val="center"/>
        <w:rPr>
          <w:rFonts w:hint="eastAsia" w:ascii="楷体_GB2312" w:hAnsi="楷体_GB2312" w:eastAsia="楷体_GB2312" w:cs="楷体_GB2312"/>
          <w:kern w:val="2"/>
          <w:szCs w:val="20"/>
          <w:lang w:eastAsia="zh-CN"/>
        </w:rPr>
      </w:pPr>
      <w:r>
        <w:rPr>
          <w:rFonts w:hint="eastAsia" w:ascii="楷体_GB2312" w:hAnsi="楷体_GB2312" w:eastAsia="楷体_GB2312" w:cs="楷体_GB2312"/>
          <w:kern w:val="2"/>
          <w:szCs w:val="20"/>
          <w:lang w:eastAsia="zh-CN"/>
        </w:rPr>
        <w:t>梅州市人大常委会法工委</w:t>
      </w:r>
    </w:p>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方正小标宋简体" w:hAnsi="方正小标宋简体" w:eastAsia="方正小标宋简体" w:cs="方正小标宋简体"/>
          <w:kern w:val="2"/>
          <w:sz w:val="28"/>
          <w:szCs w:val="28"/>
        </w:rPr>
      </w:pPr>
      <w:r>
        <w:rPr>
          <w:rFonts w:hint="eastAsia" w:ascii="楷体_GB2312" w:hAnsi="楷体_GB2312" w:eastAsia="楷体_GB2312" w:cs="楷体_GB2312"/>
          <w:kern w:val="2"/>
          <w:szCs w:val="20"/>
        </w:rPr>
        <w:t>202</w:t>
      </w:r>
      <w:r>
        <w:rPr>
          <w:rFonts w:hint="eastAsia" w:ascii="楷体_GB2312" w:hAnsi="楷体_GB2312" w:eastAsia="楷体_GB2312" w:cs="楷体_GB2312"/>
          <w:kern w:val="2"/>
          <w:szCs w:val="20"/>
          <w:lang w:val="en-US" w:eastAsia="zh-CN"/>
        </w:rPr>
        <w:t>2</w:t>
      </w:r>
      <w:r>
        <w:rPr>
          <w:rFonts w:hint="eastAsia" w:ascii="楷体_GB2312" w:hAnsi="楷体_GB2312" w:eastAsia="楷体_GB2312" w:cs="楷体_GB2312"/>
          <w:kern w:val="2"/>
          <w:szCs w:val="20"/>
        </w:rPr>
        <w:t>年</w:t>
      </w:r>
      <w:r>
        <w:rPr>
          <w:rFonts w:hint="eastAsia" w:ascii="楷体_GB2312" w:hAnsi="楷体_GB2312" w:eastAsia="楷体_GB2312" w:cs="楷体_GB2312"/>
          <w:kern w:val="2"/>
          <w:szCs w:val="20"/>
          <w:lang w:val="en-US" w:eastAsia="zh-CN"/>
        </w:rPr>
        <w:t>12</w:t>
      </w:r>
      <w:r>
        <w:rPr>
          <w:rFonts w:hint="eastAsia" w:ascii="楷体_GB2312" w:hAnsi="楷体_GB2312" w:eastAsia="楷体_GB2312" w:cs="楷体_GB2312"/>
          <w:kern w:val="2"/>
          <w:szCs w:val="20"/>
        </w:rPr>
        <w:t>月</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both"/>
        <w:textAlignment w:val="auto"/>
        <w:rPr>
          <w:rFonts w:hint="eastAsia" w:ascii="仿宋_GB2312" w:hAnsi="仿宋_GB2312" w:eastAsia="仿宋_GB2312" w:cs="仿宋_GB2312"/>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为增强立法的科学性、民主性、依法性，根据《梅州市制定地方性法规条例</w:t>
      </w:r>
      <w:r>
        <w:rPr>
          <w:rFonts w:hint="eastAsia" w:hAnsi="仿宋_GB2312" w:cs="仿宋_GB2312"/>
          <w:kern w:val="2"/>
          <w:sz w:val="32"/>
          <w:szCs w:val="32"/>
          <w:lang w:eastAsia="zh-CN"/>
        </w:rPr>
        <w:t>》</w:t>
      </w:r>
      <w:r>
        <w:rPr>
          <w:rFonts w:hint="eastAsia" w:hAnsi="仿宋_GB2312" w:cs="仿宋_GB2312"/>
          <w:kern w:val="2"/>
          <w:sz w:val="32"/>
          <w:szCs w:val="32"/>
          <w:lang w:val="en-US" w:eastAsia="zh-CN"/>
        </w:rPr>
        <w:t>的</w:t>
      </w:r>
      <w:r>
        <w:rPr>
          <w:rFonts w:hint="eastAsia" w:ascii="仿宋_GB2312" w:hAnsi="仿宋_GB2312" w:eastAsia="仿宋_GB2312" w:cs="仿宋_GB2312"/>
          <w:kern w:val="2"/>
          <w:sz w:val="32"/>
          <w:szCs w:val="32"/>
          <w:lang w:eastAsia="zh-CN"/>
        </w:rPr>
        <w:t>要求，市人大常委会于</w:t>
      </w:r>
      <w:r>
        <w:rPr>
          <w:rFonts w:hint="eastAsia" w:ascii="仿宋_GB2312" w:hAnsi="仿宋_GB2312" w:eastAsia="仿宋_GB2312" w:cs="仿宋_GB2312"/>
          <w:kern w:val="2"/>
          <w:sz w:val="32"/>
          <w:szCs w:val="32"/>
          <w:lang w:val="en-US" w:eastAsia="zh-CN"/>
        </w:rPr>
        <w:t>2022年</w:t>
      </w:r>
      <w:r>
        <w:rPr>
          <w:rFonts w:hint="eastAsia" w:hAnsi="仿宋_GB2312" w:cs="仿宋_GB2312"/>
          <w:kern w:val="2"/>
          <w:sz w:val="32"/>
          <w:szCs w:val="32"/>
          <w:lang w:val="en-US" w:eastAsia="zh-CN"/>
        </w:rPr>
        <w:t>11</w:t>
      </w:r>
      <w:r>
        <w:rPr>
          <w:rFonts w:hint="eastAsia" w:ascii="仿宋_GB2312" w:hAnsi="仿宋_GB2312" w:eastAsia="仿宋_GB2312" w:cs="仿宋_GB2312"/>
          <w:kern w:val="2"/>
          <w:sz w:val="32"/>
          <w:szCs w:val="32"/>
          <w:lang w:val="en-US" w:eastAsia="zh-CN"/>
        </w:rPr>
        <w:t>月</w:t>
      </w:r>
      <w:r>
        <w:rPr>
          <w:rFonts w:hint="eastAsia" w:hAnsi="仿宋_GB2312" w:cs="仿宋_GB2312"/>
          <w:kern w:val="2"/>
          <w:sz w:val="32"/>
          <w:szCs w:val="32"/>
          <w:lang w:val="en-US" w:eastAsia="zh-CN"/>
        </w:rPr>
        <w:t>30</w:t>
      </w:r>
      <w:r>
        <w:rPr>
          <w:rFonts w:hint="eastAsia" w:ascii="仿宋_GB2312" w:hAnsi="仿宋_GB2312" w:eastAsia="仿宋_GB2312" w:cs="仿宋_GB2312"/>
          <w:kern w:val="2"/>
          <w:sz w:val="32"/>
          <w:szCs w:val="32"/>
          <w:lang w:val="en-US" w:eastAsia="zh-CN"/>
        </w:rPr>
        <w:t>日</w:t>
      </w:r>
      <w:r>
        <w:rPr>
          <w:rFonts w:hint="eastAsia" w:hAnsi="仿宋_GB2312" w:cs="仿宋_GB2312"/>
          <w:kern w:val="2"/>
          <w:sz w:val="32"/>
          <w:szCs w:val="32"/>
          <w:lang w:val="en-US" w:eastAsia="zh-CN"/>
        </w:rPr>
        <w:t>通过在线视频会议的形式召开了</w:t>
      </w:r>
      <w:r>
        <w:rPr>
          <w:rFonts w:hint="eastAsia" w:ascii="仿宋_GB2312" w:hAnsi="仿宋_GB2312" w:eastAsia="仿宋_GB2312" w:cs="仿宋_GB2312"/>
          <w:kern w:val="2"/>
          <w:sz w:val="32"/>
          <w:szCs w:val="32"/>
          <w:lang w:val="en-US" w:eastAsia="zh-CN"/>
        </w:rPr>
        <w:t>《梅州市</w:t>
      </w:r>
      <w:r>
        <w:rPr>
          <w:rFonts w:hint="eastAsia" w:hAnsi="仿宋_GB2312" w:cs="仿宋_GB2312"/>
          <w:kern w:val="2"/>
          <w:sz w:val="32"/>
          <w:szCs w:val="32"/>
          <w:lang w:val="en-US" w:eastAsia="zh-CN"/>
        </w:rPr>
        <w:t>客家菜传承发展促进</w:t>
      </w:r>
      <w:r>
        <w:rPr>
          <w:rFonts w:hint="eastAsia" w:ascii="仿宋_GB2312" w:hAnsi="仿宋_GB2312" w:eastAsia="仿宋_GB2312" w:cs="仿宋_GB2312"/>
          <w:kern w:val="2"/>
          <w:sz w:val="32"/>
          <w:szCs w:val="32"/>
          <w:lang w:val="en-US" w:eastAsia="zh-CN"/>
        </w:rPr>
        <w:t>条例（草案修改稿）》（以下简称</w:t>
      </w:r>
      <w:r>
        <w:rPr>
          <w:rFonts w:hint="eastAsia" w:hAnsi="仿宋_GB2312" w:cs="仿宋_GB2312"/>
          <w:kern w:val="2"/>
          <w:sz w:val="32"/>
          <w:szCs w:val="32"/>
          <w:lang w:val="en-US" w:eastAsia="zh-CN"/>
        </w:rPr>
        <w:t>条例</w:t>
      </w:r>
      <w:r>
        <w:rPr>
          <w:rFonts w:hint="eastAsia" w:ascii="仿宋_GB2312" w:hAnsi="仿宋_GB2312" w:eastAsia="仿宋_GB2312" w:cs="仿宋_GB2312"/>
          <w:kern w:val="2"/>
          <w:sz w:val="32"/>
          <w:szCs w:val="32"/>
          <w:lang w:val="en-US" w:eastAsia="zh-CN"/>
        </w:rPr>
        <w:t>）表决前评估会，邀请人大代表、立法咨询专家、相关单位业务负责同志等进行了表决前评估。现将表决前评估的有关情况报告如下：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20" w:firstLineChars="200"/>
        <w:jc w:val="both"/>
        <w:textAlignment w:val="auto"/>
        <w:rPr>
          <w:rFonts w:hint="eastAsia" w:ascii="仿宋_GB2312" w:hAnsi="仿宋_GB2312" w:eastAsia="仿宋_GB2312" w:cs="仿宋_GB2312"/>
          <w:b/>
          <w:bCs/>
          <w:kern w:val="2"/>
          <w:sz w:val="32"/>
          <w:szCs w:val="32"/>
          <w:lang w:val="en-US" w:eastAsia="zh-CN"/>
        </w:rPr>
      </w:pPr>
      <w:r>
        <w:rPr>
          <w:rFonts w:hint="eastAsia" w:ascii="黑体" w:hAnsi="黑体" w:eastAsia="黑体" w:cs="黑体"/>
          <w:b w:val="0"/>
          <w:bCs w:val="0"/>
          <w:kern w:val="2"/>
          <w:sz w:val="32"/>
          <w:szCs w:val="32"/>
          <w:lang w:val="en-US" w:eastAsia="zh-CN"/>
        </w:rPr>
        <w:t>一、总体评估意见</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评估人员普遍认为，</w:t>
      </w:r>
      <w:r>
        <w:rPr>
          <w:rFonts w:hint="eastAsia" w:hAnsi="仿宋_GB2312" w:cs="仿宋_GB2312"/>
          <w:kern w:val="2"/>
          <w:sz w:val="32"/>
          <w:szCs w:val="32"/>
          <w:lang w:val="en-US" w:eastAsia="zh-CN"/>
        </w:rPr>
        <w:t>条例出台时机成熟，符合梅州经济社会发展尤其是实体经济发展的需要，有利于带动就业创业、行业发展和乡村振兴，助推“融湾”工作，也体现了梅州作为“中国客家菜之乡”的底蕴和担当</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评估</w:t>
      </w:r>
      <w:r>
        <w:rPr>
          <w:rFonts w:hint="eastAsia" w:hAnsi="仿宋_GB2312" w:cs="仿宋_GB2312"/>
          <w:kern w:val="2"/>
          <w:sz w:val="32"/>
          <w:szCs w:val="32"/>
          <w:lang w:val="en-US" w:eastAsia="zh-CN"/>
        </w:rPr>
        <w:t>人员还</w:t>
      </w:r>
      <w:r>
        <w:rPr>
          <w:rFonts w:hint="eastAsia" w:ascii="仿宋_GB2312" w:hAnsi="仿宋_GB2312" w:eastAsia="仿宋_GB2312" w:cs="仿宋_GB2312"/>
          <w:kern w:val="2"/>
          <w:sz w:val="32"/>
          <w:szCs w:val="32"/>
          <w:lang w:val="en-US" w:eastAsia="zh-CN"/>
        </w:rPr>
        <w:t>认为，</w:t>
      </w:r>
      <w:r>
        <w:rPr>
          <w:rFonts w:hint="eastAsia" w:hAnsi="仿宋_GB2312" w:cs="仿宋_GB2312"/>
          <w:kern w:val="2"/>
          <w:sz w:val="32"/>
          <w:szCs w:val="32"/>
          <w:lang w:val="en-US" w:eastAsia="zh-CN"/>
        </w:rPr>
        <w:t>条例内容通过多次修改，内容趋于成熟完善，细致务实，充分体现梅州特色，具有较强的可操作性</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同时，评估人员也提出，条例</w:t>
      </w:r>
      <w:r>
        <w:rPr>
          <w:rFonts w:hint="eastAsia" w:hAnsi="仿宋_GB2312" w:cs="仿宋_GB2312"/>
          <w:kern w:val="2"/>
          <w:sz w:val="32"/>
          <w:szCs w:val="32"/>
          <w:lang w:val="en-US" w:eastAsia="zh-CN"/>
        </w:rPr>
        <w:t>出台后，</w:t>
      </w:r>
      <w:r>
        <w:rPr>
          <w:rFonts w:hint="eastAsia" w:ascii="仿宋_GB2312" w:hAnsi="仿宋_GB2312" w:eastAsia="仿宋_GB2312" w:cs="仿宋_GB2312"/>
          <w:kern w:val="2"/>
          <w:sz w:val="32"/>
          <w:szCs w:val="32"/>
          <w:lang w:val="en-US" w:eastAsia="zh-CN"/>
        </w:rPr>
        <w:t>相关单位和部门要认真抓好条例的普法宣传</w:t>
      </w:r>
      <w:r>
        <w:rPr>
          <w:rFonts w:hint="eastAsia" w:hAnsi="仿宋_GB2312" w:cs="仿宋_GB2312"/>
          <w:kern w:val="2"/>
          <w:sz w:val="32"/>
          <w:szCs w:val="32"/>
          <w:lang w:val="en-US" w:eastAsia="zh-CN"/>
        </w:rPr>
        <w:t>，做好资金投入、人才培养、产业发展等</w:t>
      </w:r>
      <w:r>
        <w:rPr>
          <w:rFonts w:hint="eastAsia" w:ascii="仿宋_GB2312" w:hAnsi="仿宋_GB2312" w:eastAsia="仿宋_GB2312" w:cs="仿宋_GB2312"/>
          <w:kern w:val="2"/>
          <w:sz w:val="32"/>
          <w:szCs w:val="32"/>
          <w:lang w:val="en-US" w:eastAsia="zh-CN"/>
        </w:rPr>
        <w:t>措施</w:t>
      </w:r>
      <w:r>
        <w:rPr>
          <w:rFonts w:hint="eastAsia" w:hAnsi="仿宋_GB2312" w:cs="仿宋_GB2312"/>
          <w:kern w:val="2"/>
          <w:sz w:val="32"/>
          <w:szCs w:val="32"/>
          <w:lang w:val="en-US" w:eastAsia="zh-CN"/>
        </w:rPr>
        <w:t>的</w:t>
      </w:r>
      <w:r>
        <w:rPr>
          <w:rFonts w:hint="eastAsia" w:ascii="仿宋_GB2312" w:hAnsi="仿宋_GB2312" w:eastAsia="仿宋_GB2312" w:cs="仿宋_GB2312"/>
          <w:kern w:val="2"/>
          <w:sz w:val="32"/>
          <w:szCs w:val="32"/>
          <w:lang w:val="en-US" w:eastAsia="zh-CN"/>
        </w:rPr>
        <w:t>落细落实工作，</w:t>
      </w:r>
      <w:r>
        <w:rPr>
          <w:rFonts w:hint="eastAsia" w:hAnsi="仿宋_GB2312" w:cs="仿宋_GB2312"/>
          <w:kern w:val="2"/>
          <w:sz w:val="32"/>
          <w:szCs w:val="32"/>
          <w:lang w:val="en-US" w:eastAsia="zh-CN"/>
        </w:rPr>
        <w:t>扩大参与面，在实施过程中要注意保护市场公平有序竞争和知识产权，注重客家菜食材、菜品和食品质量安全。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20" w:firstLineChars="200"/>
        <w:jc w:val="both"/>
        <w:textAlignment w:val="auto"/>
        <w:rPr>
          <w:rFonts w:hint="eastAsia" w:ascii="仿宋_GB2312" w:hAnsi="仿宋_GB2312" w:eastAsia="仿宋_GB2312" w:cs="仿宋_GB2312"/>
          <w:b/>
          <w:bCs/>
          <w:kern w:val="2"/>
          <w:sz w:val="32"/>
          <w:szCs w:val="32"/>
          <w:lang w:val="en-US" w:eastAsia="zh-CN"/>
        </w:rPr>
      </w:pPr>
      <w:r>
        <w:rPr>
          <w:rFonts w:hint="eastAsia" w:ascii="黑体" w:hAnsi="黑体" w:eastAsia="黑体" w:cs="黑体"/>
          <w:b w:val="0"/>
          <w:bCs w:val="0"/>
          <w:kern w:val="2"/>
          <w:sz w:val="32"/>
          <w:szCs w:val="32"/>
          <w:lang w:val="en-US" w:eastAsia="zh-CN"/>
        </w:rPr>
        <w:t>二、对具体问题的评估意见</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20" w:firstLineChars="200"/>
        <w:jc w:val="both"/>
        <w:textAlignment w:val="auto"/>
        <w:rPr>
          <w:rFonts w:hint="eastAsia" w:ascii="楷体_GB2312" w:hAnsi="楷体_GB2312" w:eastAsia="楷体_GB2312" w:cs="楷体_GB2312"/>
          <w:b w:val="0"/>
          <w:bCs w:val="0"/>
          <w:kern w:val="2"/>
          <w:sz w:val="32"/>
          <w:szCs w:val="32"/>
          <w:lang w:val="en-US" w:eastAsia="zh-CN"/>
        </w:rPr>
      </w:pPr>
      <w:r>
        <w:rPr>
          <w:rFonts w:hint="eastAsia" w:ascii="楷体_GB2312" w:hAnsi="楷体_GB2312" w:eastAsia="楷体_GB2312" w:cs="楷体_GB2312"/>
          <w:b w:val="0"/>
          <w:bCs w:val="0"/>
          <w:kern w:val="2"/>
          <w:sz w:val="32"/>
          <w:szCs w:val="32"/>
          <w:lang w:val="en-US" w:eastAsia="zh-CN"/>
        </w:rPr>
        <w:t>（一）关于职责分工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2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评估</w:t>
      </w:r>
      <w:r>
        <w:rPr>
          <w:rFonts w:hint="eastAsia" w:hAnsi="仿宋_GB2312" w:cs="仿宋_GB2312"/>
          <w:kern w:val="2"/>
          <w:sz w:val="32"/>
          <w:szCs w:val="32"/>
          <w:lang w:val="en-US" w:eastAsia="zh-CN"/>
        </w:rPr>
        <w:t>人员</w:t>
      </w:r>
      <w:r>
        <w:rPr>
          <w:rFonts w:hint="eastAsia" w:ascii="仿宋_GB2312" w:hAnsi="仿宋_GB2312" w:eastAsia="仿宋_GB2312" w:cs="仿宋_GB2312"/>
          <w:kern w:val="2"/>
          <w:sz w:val="32"/>
          <w:szCs w:val="32"/>
          <w:lang w:val="en-US" w:eastAsia="zh-CN"/>
        </w:rPr>
        <w:t>认为，</w:t>
      </w:r>
      <w:r>
        <w:rPr>
          <w:rFonts w:hint="eastAsia" w:hAnsi="仿宋_GB2312" w:cs="仿宋_GB2312"/>
          <w:kern w:val="2"/>
          <w:sz w:val="32"/>
          <w:szCs w:val="32"/>
          <w:lang w:val="en-US" w:eastAsia="zh-CN"/>
        </w:rPr>
        <w:t>条例明确了政府及相关职能部门在客家菜传承发展促进工作中的分工，以及行业协会等组织和社会各界的有序参与，结构合理</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20" w:firstLineChars="200"/>
        <w:jc w:val="both"/>
        <w:textAlignment w:val="auto"/>
        <w:rPr>
          <w:rFonts w:hint="eastAsia" w:ascii="楷体_GB2312" w:hAnsi="楷体_GB2312" w:eastAsia="楷体_GB2312" w:cs="楷体_GB2312"/>
          <w:b w:val="0"/>
          <w:bCs w:val="0"/>
          <w:kern w:val="2"/>
          <w:sz w:val="32"/>
          <w:szCs w:val="32"/>
          <w:lang w:val="en-US" w:eastAsia="zh-CN"/>
        </w:rPr>
      </w:pPr>
      <w:r>
        <w:rPr>
          <w:rFonts w:hint="eastAsia" w:ascii="楷体_GB2312" w:hAnsi="楷体_GB2312" w:eastAsia="楷体_GB2312" w:cs="楷体_GB2312"/>
          <w:b w:val="0"/>
          <w:bCs w:val="0"/>
          <w:kern w:val="2"/>
          <w:sz w:val="32"/>
          <w:szCs w:val="32"/>
          <w:lang w:val="en-US" w:eastAsia="zh-CN"/>
        </w:rPr>
        <w:t>（二）关于资金保障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20" w:firstLineChars="200"/>
        <w:jc w:val="both"/>
        <w:textAlignment w:val="auto"/>
        <w:rPr>
          <w:rFonts w:hint="default" w:hAnsi="仿宋_GB2312" w:cs="仿宋_GB2312"/>
          <w:kern w:val="2"/>
          <w:sz w:val="32"/>
          <w:szCs w:val="32"/>
          <w:lang w:val="en-US" w:eastAsia="zh-CN"/>
        </w:rPr>
      </w:pPr>
      <w:r>
        <w:rPr>
          <w:rFonts w:hint="eastAsia" w:hAnsi="仿宋_GB2312" w:cs="仿宋_GB2312"/>
          <w:kern w:val="2"/>
          <w:sz w:val="32"/>
          <w:szCs w:val="32"/>
          <w:lang w:val="en-US" w:eastAsia="zh-CN"/>
        </w:rPr>
        <w:t>评估人员认为，条例采用政府财政投入+社会资本参与的模式予以保障，考虑了我市财政实际，具有可操作性。</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20" w:firstLineChars="200"/>
        <w:jc w:val="both"/>
        <w:textAlignment w:val="auto"/>
        <w:rPr>
          <w:rFonts w:hint="eastAsia" w:ascii="楷体_GB2312" w:hAnsi="楷体_GB2312" w:eastAsia="楷体_GB2312" w:cs="楷体_GB2312"/>
          <w:b w:val="0"/>
          <w:bCs w:val="0"/>
          <w:kern w:val="2"/>
          <w:sz w:val="32"/>
          <w:szCs w:val="32"/>
          <w:lang w:val="en-US" w:eastAsia="zh-CN"/>
        </w:rPr>
      </w:pPr>
      <w:r>
        <w:rPr>
          <w:rFonts w:hint="eastAsia" w:ascii="楷体_GB2312" w:hAnsi="楷体_GB2312" w:eastAsia="楷体_GB2312" w:cs="楷体_GB2312"/>
          <w:b w:val="0"/>
          <w:bCs w:val="0"/>
          <w:kern w:val="2"/>
          <w:sz w:val="32"/>
          <w:szCs w:val="32"/>
          <w:lang w:val="en-US" w:eastAsia="zh-CN"/>
        </w:rPr>
        <w:t>（三）关于客家菜品牌</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2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评估人员认为，</w:t>
      </w:r>
      <w:r>
        <w:rPr>
          <w:rFonts w:hint="eastAsia" w:hAnsi="仿宋_GB2312" w:cs="仿宋_GB2312"/>
          <w:kern w:val="2"/>
          <w:sz w:val="32"/>
          <w:szCs w:val="32"/>
          <w:lang w:val="en-US" w:eastAsia="zh-CN"/>
        </w:rPr>
        <w:t>条例规定了客家菜的标准化、名菜名录、非遗传承、老字号等内容，有助于推动客家菜品牌上档次、规模化，改变客家菜产业原有的低端粗放、投资不足、市场占有率低等现状，并通过客家健康食材等产业链的发展，擦亮梅州生态发展区招牌</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20" w:firstLineChars="200"/>
        <w:jc w:val="both"/>
        <w:textAlignment w:val="auto"/>
        <w:rPr>
          <w:rFonts w:hint="eastAsia" w:ascii="楷体_GB2312" w:hAnsi="楷体_GB2312" w:eastAsia="楷体_GB2312" w:cs="楷体_GB2312"/>
          <w:b w:val="0"/>
          <w:bCs w:val="0"/>
          <w:kern w:val="2"/>
          <w:sz w:val="32"/>
          <w:szCs w:val="32"/>
          <w:lang w:val="en-US" w:eastAsia="zh-CN"/>
        </w:rPr>
      </w:pPr>
      <w:r>
        <w:rPr>
          <w:rFonts w:hint="eastAsia" w:ascii="楷体_GB2312" w:hAnsi="楷体_GB2312" w:eastAsia="楷体_GB2312" w:cs="楷体_GB2312"/>
          <w:b w:val="0"/>
          <w:bCs w:val="0"/>
          <w:kern w:val="2"/>
          <w:sz w:val="32"/>
          <w:szCs w:val="32"/>
          <w:lang w:val="en-US" w:eastAsia="zh-CN"/>
        </w:rPr>
        <w:t>（四）关于预制菜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2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评估人员认为,</w:t>
      </w:r>
      <w:r>
        <w:rPr>
          <w:rFonts w:hint="eastAsia" w:hAnsi="仿宋_GB2312" w:cs="仿宋_GB2312"/>
          <w:kern w:val="2"/>
          <w:sz w:val="32"/>
          <w:szCs w:val="32"/>
          <w:lang w:val="en-US" w:eastAsia="zh-CN"/>
        </w:rPr>
        <w:t>条例规定了客家预制菜的打造和开发内容，顺应了新的餐饮业态和生活方式，利用客家菜名菜名录打造预制菜品牌，有利于推动传统客家菜的创新发展</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20" w:firstLineChars="200"/>
        <w:jc w:val="both"/>
        <w:textAlignment w:val="auto"/>
        <w:rPr>
          <w:rFonts w:hint="eastAsia" w:hAnsi="仿宋_GB2312" w:cs="仿宋_GB2312"/>
          <w:kern w:val="2"/>
          <w:sz w:val="32"/>
          <w:szCs w:val="32"/>
          <w:lang w:val="en-US" w:eastAsia="zh-CN"/>
        </w:rPr>
      </w:pPr>
      <w:r>
        <w:rPr>
          <w:rFonts w:hint="default" w:hAnsi="仿宋_GB2312" w:cs="仿宋_GB2312"/>
          <w:kern w:val="2"/>
          <w:sz w:val="32"/>
          <w:szCs w:val="32"/>
          <w:lang w:val="en-US" w:eastAsia="zh-CN"/>
        </w:rPr>
        <w:t>此外,</w:t>
      </w:r>
      <w:r>
        <w:rPr>
          <w:rFonts w:hint="eastAsia" w:hAnsi="仿宋_GB2312" w:cs="仿宋_GB2312"/>
          <w:kern w:val="2"/>
          <w:sz w:val="32"/>
          <w:szCs w:val="32"/>
          <w:lang w:val="en-US" w:eastAsia="zh-CN"/>
        </w:rPr>
        <w:t>评估人员</w:t>
      </w:r>
      <w:r>
        <w:rPr>
          <w:rFonts w:hint="default" w:hAnsi="仿宋_GB2312" w:cs="仿宋_GB2312"/>
          <w:kern w:val="2"/>
          <w:sz w:val="32"/>
          <w:szCs w:val="32"/>
          <w:lang w:val="en-US" w:eastAsia="zh-CN"/>
        </w:rPr>
        <w:t>还提出了一些</w:t>
      </w:r>
      <w:r>
        <w:rPr>
          <w:rFonts w:hint="eastAsia" w:hAnsi="仿宋_GB2312" w:cs="仿宋_GB2312"/>
          <w:kern w:val="2"/>
          <w:sz w:val="32"/>
          <w:szCs w:val="32"/>
          <w:lang w:val="en-US" w:eastAsia="zh-CN"/>
        </w:rPr>
        <w:t>意见建议</w:t>
      </w:r>
      <w:r>
        <w:rPr>
          <w:rFonts w:hint="default" w:hAnsi="仿宋_GB2312" w:cs="仿宋_GB2312"/>
          <w:kern w:val="2"/>
          <w:sz w:val="32"/>
          <w:szCs w:val="32"/>
          <w:lang w:val="en-US" w:eastAsia="zh-CN"/>
        </w:rPr>
        <w:t>,如:</w:t>
      </w:r>
      <w:r>
        <w:rPr>
          <w:rFonts w:hint="eastAsia" w:hAnsi="仿宋_GB2312" w:cs="仿宋_GB2312"/>
          <w:kern w:val="2"/>
          <w:sz w:val="32"/>
          <w:szCs w:val="32"/>
          <w:lang w:val="en-US" w:eastAsia="zh-CN"/>
        </w:rPr>
        <w:t>客家菜的定义需要再斟酌；条例体系逻辑和条文顺序需要进一步梳理，部分条款内容需要进一步精简；客家菜名菜名录内容需要进一步优化，并作为主线串联起其他条文；客家小吃、老字号条款需要扩大适用面等等。</w:t>
      </w:r>
    </w:p>
    <w:p/>
    <w:sectPr>
      <w:footerReference r:id="rId3" w:type="default"/>
      <w:pgSz w:w="11906" w:h="16838"/>
      <w:pgMar w:top="1701" w:right="1417" w:bottom="1701" w:left="1417" w:header="1134" w:footer="1247" w:gutter="0"/>
      <w:pgNumType w:fmt="numberInDash"/>
      <w:cols w:space="720" w:num="1"/>
      <w:rtlGutter w:val="0"/>
      <w:docGrid w:type="linesAndChars" w:linePitch="312"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12 -</w:t>
                          </w:r>
                          <w:r>
                            <w:rPr>
                              <w:rFonts w:hint="eastAsia" w:ascii="宋体" w:hAnsi="宋体" w:eastAsia="宋体" w:cs="宋体"/>
                              <w:sz w:val="28"/>
                              <w:szCs w:val="28"/>
                            </w:rPr>
                            <w:fldChar w:fldCharType="end"/>
                          </w:r>
                        </w:p>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path/>
              <v:fill on="f" focussize="0,0"/>
              <v:stroke on="f"/>
              <v:imagedata o:title=""/>
              <o:lock v:ext="edit"/>
              <v:textbox inset="0mm,0mm,0mm,0mm" style="mso-fit-shape-to-text:t;">
                <w:txbxContent>
                  <w:p>
                    <w:pPr>
                      <w:pStyle w:val="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12 -</w:t>
                    </w:r>
                    <w:r>
                      <w:rPr>
                        <w:rFonts w:hint="eastAsia" w:ascii="宋体" w:hAnsi="宋体" w:eastAsia="宋体" w:cs="宋体"/>
                        <w:sz w:val="28"/>
                        <w:szCs w:val="28"/>
                      </w:rPr>
                      <w:fldChar w:fldCharType="end"/>
                    </w:r>
                  </w:p>
                  <w:p/>
                </w:txbxContent>
              </v:textbox>
            </v:rect>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ZjVjODFmNjU5MDY5ZTRmODhjODk0OTFjMDE4OTQifQ=="/>
  </w:docVars>
  <w:rsids>
    <w:rsidRoot w:val="75AA0BBB"/>
    <w:rsid w:val="75AA0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仿宋_GB2312" w:hAnsi="Tahoma" w:eastAsia="仿宋_GB2312" w:cs="宋体"/>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缩进1"/>
    <w:next w:val="1"/>
    <w:uiPriority w:val="0"/>
    <w:pPr>
      <w:widowControl w:val="0"/>
      <w:ind w:firstLine="420" w:firstLineChars="200"/>
      <w:jc w:val="both"/>
    </w:pPr>
    <w:rPr>
      <w:rFonts w:ascii="Calibri" w:hAnsi="Calibri" w:eastAsia="宋体" w:cs="Times New Roman"/>
      <w:kern w:val="2"/>
      <w:sz w:val="32"/>
      <w:lang w:val="en-US" w:eastAsia="zh-CN" w:bidi="ar-SA"/>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934</Words>
  <Characters>943</Characters>
  <Lines>0</Lines>
  <Paragraphs>0</Paragraphs>
  <TotalTime>0</TotalTime>
  <ScaleCrop>false</ScaleCrop>
  <LinksUpToDate>false</LinksUpToDate>
  <CharactersWithSpaces>943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2023-01-29T02:06:00Z</dcterms:created>
  <dc:creator>Nickel</dc:creator>
  <cp:lastModifiedBy>Nickel</cp:lastModifiedBy>
  <dcterms:modified xsi:type="dcterms:W3CDTF">2023-01-29T02:06:36Z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AFCC26AC4F504CFCB79937E1914BB154</vt:lpwstr>
  </property>
</Properties>
</file>